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C038D">
      <w:pPr>
        <w:pStyle w:val="Heading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Procedures for Handling Breaches of Professionalism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6503"/>
      </w:tblGrid>
      <w:tr w:rsidR="00000000">
        <w:trPr>
          <w:divId w:val="75146324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C038D">
            <w:pPr>
              <w:pStyle w:val="NormalWeb"/>
            </w:pPr>
            <w:r>
              <w:rPr>
                <w:rStyle w:val="Strong"/>
              </w:rPr>
              <w:t>Procedure Title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C038D">
            <w:pPr>
              <w:pStyle w:val="NormalWeb"/>
            </w:pPr>
            <w:r>
              <w:t>UCSF SOD Procedures for Handling Breaches of Professionalism</w:t>
            </w:r>
          </w:p>
        </w:tc>
      </w:tr>
      <w:tr w:rsidR="00000000">
        <w:trPr>
          <w:divId w:val="75146324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C038D">
            <w:pPr>
              <w:pStyle w:val="NormalWeb"/>
            </w:pPr>
            <w:r>
              <w:rPr>
                <w:rStyle w:val="Strong"/>
              </w:rPr>
              <w:t>Published By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C038D">
            <w:pPr>
              <w:pStyle w:val="NormalWeb"/>
            </w:pPr>
            <w:r>
              <w:t>SOD Learner Success Center (Reviewed Annually)</w:t>
            </w:r>
          </w:p>
        </w:tc>
      </w:tr>
      <w:tr w:rsidR="00000000">
        <w:trPr>
          <w:divId w:val="75146324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C038D">
            <w:pPr>
              <w:pStyle w:val="NormalWeb"/>
            </w:pPr>
            <w:r>
              <w:rPr>
                <w:rStyle w:val="Strong"/>
              </w:rPr>
              <w:t>Academic Year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C038D">
            <w:pPr>
              <w:pStyle w:val="NormalWeb"/>
            </w:pPr>
            <w:r>
              <w:t>2018-2019</w:t>
            </w:r>
          </w:p>
        </w:tc>
      </w:tr>
      <w:tr w:rsidR="00000000">
        <w:trPr>
          <w:divId w:val="75146324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C038D">
            <w:pPr>
              <w:pStyle w:val="NormalWeb"/>
            </w:pPr>
            <w:r>
              <w:rPr>
                <w:rStyle w:val="Strong"/>
              </w:rPr>
              <w:t xml:space="preserve">Applies To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C038D">
            <w:pPr>
              <w:pStyle w:val="NormalWeb"/>
            </w:pPr>
            <w:r>
              <w:t>Predoctoral Dental Students</w:t>
            </w:r>
          </w:p>
        </w:tc>
      </w:tr>
      <w:tr w:rsidR="00000000">
        <w:trPr>
          <w:divId w:val="75146324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C038D">
            <w:pPr>
              <w:pStyle w:val="NormalWeb"/>
            </w:pPr>
            <w:r>
              <w:rPr>
                <w:rStyle w:val="Strong"/>
              </w:rPr>
              <w:t xml:space="preserve">Implemented By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C038D">
            <w:pPr>
              <w:pStyle w:val="NormalWeb"/>
            </w:pPr>
            <w:r>
              <w:t>SOD Learner Success Center</w:t>
            </w:r>
          </w:p>
        </w:tc>
      </w:tr>
    </w:tbl>
    <w:p w:rsidR="00000000" w:rsidRDefault="004C038D">
      <w:pPr>
        <w:pStyle w:val="Heading2"/>
        <w:rPr>
          <w:rFonts w:eastAsia="Times New Roman"/>
        </w:rPr>
      </w:pPr>
      <w:r>
        <w:rPr>
          <w:rStyle w:val="Strong"/>
          <w:rFonts w:eastAsia="Times New Roman"/>
          <w:b/>
          <w:bCs/>
          <w:color w:val="FF9900"/>
        </w:rPr>
        <w:t>SOD Procedures for Handling Breaches of Professionalism</w:t>
      </w:r>
    </w:p>
    <w:p w:rsidR="00000000" w:rsidRDefault="004C038D">
      <w:pPr>
        <w:pStyle w:val="Heading3"/>
        <w:rPr>
          <w:rFonts w:eastAsia="Times New Roman"/>
        </w:rPr>
      </w:pPr>
      <w:r>
        <w:rPr>
          <w:rFonts w:eastAsia="Times New Roman"/>
        </w:rPr>
        <w:t>Definition</w:t>
      </w:r>
    </w:p>
    <w:p w:rsidR="00000000" w:rsidRDefault="004C038D">
      <w:pPr>
        <w:pStyle w:val="NormalWeb"/>
      </w:pPr>
      <w:r>
        <w:t xml:space="preserve">Professionalism is considered a core competency by the UCSF School of Dentistry. Breaches in academic professionalism are differentiated from </w:t>
      </w:r>
      <w:r>
        <w:t>instances of student misconduct. Any breach of academic professionalism will be addressed via the process outlined in the SOD Student Handbook's Professionalism Competency section.</w:t>
      </w:r>
    </w:p>
    <w:p w:rsidR="00000000" w:rsidRDefault="004C038D">
      <w:pPr>
        <w:pStyle w:val="NormalWeb"/>
      </w:pPr>
      <w:r>
        <w:t>Issues of student misconduct that do not qualify as breaches in academic pr</w:t>
      </w:r>
      <w:r>
        <w:t>ofessionalism (e.g., cheating, plagiarism, forgery, theft, lewd conduct) and violations of any of the policies outlined in </w:t>
      </w:r>
      <w:hyperlink r:id="rId5" w:history="1">
        <w:r>
          <w:rPr>
            <w:rStyle w:val="Hyperlink"/>
          </w:rPr>
          <w:t>Policies Applying to Campus Activities, Organizations and Students (PACAOS) 102.00 – 102.25</w:t>
        </w:r>
      </w:hyperlink>
      <w:r>
        <w:t> may result in the initiation of student conduct procedures.</w:t>
      </w:r>
    </w:p>
    <w:p w:rsidR="00000000" w:rsidRDefault="004C038D">
      <w:pPr>
        <w:pStyle w:val="Heading3"/>
        <w:rPr>
          <w:rFonts w:eastAsia="Times New Roman"/>
        </w:rPr>
      </w:pPr>
      <w:r>
        <w:rPr>
          <w:rFonts w:eastAsia="Times New Roman"/>
        </w:rPr>
        <w:t>Implementation</w:t>
      </w:r>
    </w:p>
    <w:p w:rsidR="00000000" w:rsidRDefault="004C038D">
      <w:pPr>
        <w:pStyle w:val="NormalWeb"/>
      </w:pPr>
      <w:r>
        <w:t>The procedures for breaches of professionalism that occur in courses or clinics is an interactive process that will be handled as follows:</w:t>
      </w:r>
    </w:p>
    <w:p w:rsidR="00000000" w:rsidRDefault="004C038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 Course Director, Clinic Director, Clinical Coach or Residency Program Director (referred to as Director/Coach in th</w:t>
      </w:r>
      <w:r>
        <w:rPr>
          <w:rFonts w:eastAsia="Times New Roman"/>
        </w:rPr>
        <w:t xml:space="preserve">is document) who is concerned about a learner’s professional behavior will do the following: </w:t>
      </w:r>
    </w:p>
    <w:p w:rsidR="00000000" w:rsidRDefault="004C038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Determine whether the incident(s) or issue(s) is: </w:t>
      </w:r>
    </w:p>
    <w:p w:rsidR="00000000" w:rsidRDefault="004C038D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  A </w:t>
      </w:r>
      <w:r>
        <w:rPr>
          <w:rStyle w:val="Strong"/>
          <w:rFonts w:eastAsia="Times New Roman"/>
        </w:rPr>
        <w:t>development opportunity</w:t>
      </w:r>
      <w:r>
        <w:rPr>
          <w:rFonts w:eastAsia="Times New Roman"/>
        </w:rPr>
        <w:t xml:space="preserve"> - a minor professionalism issue that can be discussed/reflected upon and identified</w:t>
      </w:r>
      <w:r>
        <w:rPr>
          <w:rFonts w:eastAsia="Times New Roman"/>
        </w:rPr>
        <w:t xml:space="preserve"> as an area for future growth and development. No further action is necessary, other than sending Part I of the PER to the Associate Dean for Education and Student Affairs for inclusion in the learner’s personal file.</w:t>
      </w:r>
    </w:p>
    <w:p w:rsidR="00000000" w:rsidRDefault="004C038D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Of </w:t>
      </w:r>
      <w:r>
        <w:rPr>
          <w:rStyle w:val="Strong"/>
          <w:rFonts w:eastAsia="Times New Roman"/>
        </w:rPr>
        <w:t>moderate concern</w:t>
      </w:r>
      <w:r>
        <w:rPr>
          <w:rFonts w:eastAsia="Times New Roman"/>
        </w:rPr>
        <w:t xml:space="preserve"> - a serious incide</w:t>
      </w:r>
      <w:r>
        <w:rPr>
          <w:rFonts w:eastAsia="Times New Roman"/>
        </w:rPr>
        <w:t>nt, issue, or pattern of repeated professionalism issues which, once addressed, will require follow-up assessment to ensure that improvements are made. (PER and Action Plan required).</w:t>
      </w:r>
    </w:p>
    <w:p w:rsidR="00000000" w:rsidRDefault="004C038D">
      <w:pPr>
        <w:pStyle w:val="NormalWeb"/>
        <w:numPr>
          <w:ilvl w:val="2"/>
          <w:numId w:val="1"/>
        </w:numPr>
      </w:pPr>
      <w:r>
        <w:lastRenderedPageBreak/>
        <w:t xml:space="preserve">A </w:t>
      </w:r>
      <w:r>
        <w:rPr>
          <w:rStyle w:val="Strong"/>
        </w:rPr>
        <w:t>serious concern*</w:t>
      </w:r>
      <w:r>
        <w:t>, risk, or safety issue which may require immediate re</w:t>
      </w:r>
      <w:r>
        <w:t>moval from the environment. (PER and Action Plan required).</w:t>
      </w:r>
    </w:p>
    <w:p w:rsidR="00000000" w:rsidRDefault="004C038D">
      <w:pPr>
        <w:pStyle w:val="NormalWeb"/>
        <w:ind w:left="2160"/>
      </w:pPr>
      <w:r>
        <w:t xml:space="preserve">*Note: In the event of serious concern (i.e. immediate removal from the environment, harm to self or others) the faculty member must immediately notify the </w:t>
      </w:r>
      <w:hyperlink r:id="rId6" w:history="1">
        <w:r>
          <w:rPr>
            <w:rStyle w:val="Hyperlink"/>
          </w:rPr>
          <w:t>Associate Dean for Clinical Affairs</w:t>
        </w:r>
      </w:hyperlink>
      <w:r>
        <w:t xml:space="preserve">, Department Chair, and the </w:t>
      </w:r>
      <w:hyperlink r:id="rId7" w:history="1">
        <w:r>
          <w:rPr>
            <w:rStyle w:val="Hyperlink"/>
          </w:rPr>
          <w:t>Associate Dean for Education and Student Affairs</w:t>
        </w:r>
      </w:hyperlink>
      <w:r>
        <w:t xml:space="preserve">, who will determine the next course of action. Additionally, Associate Dean for Education and </w:t>
      </w:r>
      <w:r>
        <w:t xml:space="preserve">Student Affairs may report the incident to one or more campus partners including, but not limited to Student Health and Counseling, Risk Management, Student Disability Services, Disability Management, and/or the Office for the Prevention of Harassment and </w:t>
      </w:r>
      <w:r>
        <w:t>Discrimination.</w:t>
      </w:r>
    </w:p>
    <w:p w:rsidR="00000000" w:rsidRDefault="004C038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Complete the </w:t>
      </w:r>
      <w:hyperlink r:id="rId8" w:history="1">
        <w:r>
          <w:rPr>
            <w:rStyle w:val="Hyperlink"/>
            <w:rFonts w:eastAsia="Times New Roman"/>
          </w:rPr>
          <w:t>Professionalism Evaluation Report Form</w:t>
        </w:r>
      </w:hyperlink>
      <w:r>
        <w:rPr>
          <w:rFonts w:eastAsia="Times New Roman"/>
        </w:rPr>
        <w:t xml:space="preserve"> (PER).</w:t>
      </w:r>
    </w:p>
    <w:p w:rsidR="00000000" w:rsidRDefault="004C038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Meet with the Learner to revie</w:t>
      </w:r>
      <w:r>
        <w:rPr>
          <w:rFonts w:eastAsia="Times New Roman"/>
        </w:rPr>
        <w:t>w the PER form and discuss the specific incident(s) or issue(s) which prompted the discussion.</w:t>
      </w:r>
    </w:p>
    <w:p w:rsidR="00000000" w:rsidRDefault="004C038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Ask the learner if there are outside factors which may be involved in the incident(s) or issue(s).</w:t>
      </w:r>
    </w:p>
    <w:p w:rsidR="00000000" w:rsidRDefault="004C038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If an Action Plan is required, develop the plan with the learn</w:t>
      </w:r>
      <w:r>
        <w:rPr>
          <w:rFonts w:eastAsia="Times New Roman"/>
        </w:rPr>
        <w:t>er and complete section V of the PER.  </w:t>
      </w:r>
    </w:p>
    <w:p w:rsidR="00000000" w:rsidRDefault="004C038D">
      <w:pPr>
        <w:pStyle w:val="NormalWeb"/>
        <w:numPr>
          <w:ilvl w:val="1"/>
          <w:numId w:val="1"/>
        </w:numPr>
      </w:pPr>
      <w:r>
        <w:t>Work with the learner to identify resources available on campus and discusses professionalism expectations and behaviors.</w:t>
      </w:r>
    </w:p>
    <w:p w:rsidR="00000000" w:rsidRDefault="004C038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Give feedback to the learner and make suggestions for improvement, making reference to SOD exp</w:t>
      </w:r>
      <w:r>
        <w:rPr>
          <w:rFonts w:eastAsia="Times New Roman"/>
        </w:rPr>
        <w:t>ectations for professionalism and specific course outcomes related to professionalism.</w:t>
      </w:r>
    </w:p>
    <w:p w:rsidR="00000000" w:rsidRDefault="004C038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Maintain written documentation resulting from meetings with the learner. (All communication regarding a student’s progress is confidential and should not be shared with </w:t>
      </w:r>
      <w:r>
        <w:rPr>
          <w:rFonts w:eastAsia="Times New Roman"/>
        </w:rPr>
        <w:t>anyone outside of this professionalism process, except where otherwise permitted at law).</w:t>
      </w:r>
    </w:p>
    <w:p w:rsidR="00000000" w:rsidRDefault="004C038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Upon successful completion of the Professionalism Action Plan, complete the </w:t>
      </w:r>
      <w:hyperlink r:id="rId9" w:history="1">
        <w:r>
          <w:rPr>
            <w:rStyle w:val="Hyperlink"/>
            <w:rFonts w:eastAsia="Times New Roman"/>
          </w:rPr>
          <w:t>Professionalism Action Plan Follow Up Form</w:t>
        </w:r>
      </w:hyperlink>
      <w:r>
        <w:rPr>
          <w:rFonts w:eastAsia="Times New Roman"/>
        </w:rPr>
        <w:t>. If the PER and Action Plan was not successfully completed, the Associate Dean for Education and Student Affairs will address the next course of a</w:t>
      </w:r>
      <w:r>
        <w:rPr>
          <w:rFonts w:eastAsia="Times New Roman"/>
        </w:rPr>
        <w:t>ction.</w:t>
      </w:r>
    </w:p>
    <w:p w:rsidR="00000000" w:rsidRDefault="004C038D">
      <w:pPr>
        <w:pStyle w:val="NormalWeb"/>
      </w:pPr>
      <w:r>
        <w:t>The course of action will be documented in writing and the learner may be expected to enter into a Return to Study Agreement which will outline the conditions upon which they may return. In some cases, SOD may require a fitness for duty evaluation i</w:t>
      </w:r>
      <w:r>
        <w:t>n order for the learner to return.</w:t>
      </w:r>
    </w:p>
    <w:p w:rsidR="00000000" w:rsidRDefault="004C038D">
      <w:pPr>
        <w:pStyle w:val="NormalWeb"/>
      </w:pPr>
      <w:r>
        <w:t>To ensure that the learner is actively involved, the learner:</w:t>
      </w:r>
    </w:p>
    <w:p w:rsidR="00000000" w:rsidRDefault="004C038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Meets with the Director/Coach regarding the professionalism concerns raised, the required action plan, and to discuss their viewpoint.</w:t>
      </w:r>
    </w:p>
    <w:p w:rsidR="00000000" w:rsidRDefault="004C038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Has the opportunity to d</w:t>
      </w:r>
      <w:r>
        <w:rPr>
          <w:rFonts w:eastAsia="Times New Roman"/>
        </w:rPr>
        <w:t>evelop the Professional Action Plan with the Director/Coach and respond in writing on the PER form.</w:t>
      </w:r>
    </w:p>
    <w:p w:rsidR="00000000" w:rsidRDefault="004C038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Signs the PER form acknowledging receipt of the PER, not the learner’s agreement with the PER.</w:t>
      </w:r>
    </w:p>
    <w:p w:rsidR="00000000" w:rsidRDefault="004C038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>May also meet with the Associate Dean for Education and Student Affairs depending on the incident or issue.</w:t>
      </w:r>
    </w:p>
    <w:p w:rsidR="00000000" w:rsidRDefault="004C038D">
      <w:pPr>
        <w:pStyle w:val="NormalWeb"/>
      </w:pPr>
      <w:r>
        <w:t>Staff members who have concerns regarding a learner’s professionalism should report the incident to their supervisor or the department chair, who wi</w:t>
      </w:r>
      <w:r>
        <w:t>ll initiate the PER process.</w:t>
      </w:r>
    </w:p>
    <w:p w:rsidR="00000000" w:rsidRDefault="004C038D">
      <w:pPr>
        <w:pStyle w:val="NormalWeb"/>
      </w:pPr>
      <w:r>
        <w:t>The relevant Student Status Committee or Postdoctoral Department Student Review Committee will be notified of un-remediated professionalism issues at its regular quarterly review and Global Assessment meetings.</w:t>
      </w:r>
    </w:p>
    <w:p w:rsidR="00000000" w:rsidRDefault="004C038D">
      <w:pPr>
        <w:pStyle w:val="NormalWeb"/>
      </w:pPr>
      <w:r>
        <w:t>If a learner rec</w:t>
      </w:r>
      <w:r>
        <w:t>eives multiple PERs within one single-quarter or multi-quarter course, the learner could receive a non-passing grade (NP) for that course due to this pattern of unprofessional behavior. This may be done at the discretion of the Course Director, even if the</w:t>
      </w:r>
      <w:r>
        <w:t xml:space="preserve"> learner has passed all other academic or technical components of the course.</w:t>
      </w:r>
    </w:p>
    <w:p w:rsidR="00000000" w:rsidRDefault="004C038D">
      <w:pPr>
        <w:pStyle w:val="NormalWeb"/>
      </w:pPr>
      <w:r>
        <w:t>Institutional professionalism refers to conduct outside the classroom or clinic across the UCSF Campus as defined in the </w:t>
      </w:r>
      <w:hyperlink r:id="rId10" w:history="1">
        <w:r>
          <w:rPr>
            <w:rStyle w:val="Hyperlink"/>
          </w:rPr>
          <w:t>Policies Applying to Campus Activities, Organizations and Students (PACAOS) 102.00 – 102.25</w:t>
        </w:r>
      </w:hyperlink>
      <w:r>
        <w:t xml:space="preserve"> and may result in the initiation of student conduct procedures. A learner may receive a </w:t>
      </w:r>
      <w:r>
        <w:t>PER for unprofessional behavior that occurs outside the SOD department or clinic, such as inappropriate behavior with members of other schools or departments. As such, institutional personnel may submit a PER to the Dean (or Dean’s designee). The Dean or D</w:t>
      </w:r>
      <w:r>
        <w:t>ean’s designee will meet with the learner to discuss the incident and define a remediation process, if appropriate.</w:t>
      </w:r>
    </w:p>
    <w:p w:rsidR="00000000" w:rsidRDefault="004C038D">
      <w:pPr>
        <w:pStyle w:val="NormalWeb"/>
      </w:pPr>
      <w:r>
        <w:t> </w:t>
      </w:r>
    </w:p>
    <w:p w:rsidR="004C038D" w:rsidRDefault="004C038D">
      <w:pPr>
        <w:pStyle w:val="NormalWeb"/>
      </w:pPr>
    </w:p>
    <w:sectPr w:rsidR="004C0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02937"/>
    <w:multiLevelType w:val="multilevel"/>
    <w:tmpl w:val="9F7A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441DD1"/>
    <w:multiLevelType w:val="multilevel"/>
    <w:tmpl w:val="3F1C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E764E"/>
    <w:rsid w:val="001E764E"/>
    <w:rsid w:val="004C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8404E-17F4-4821-9305-B9B66C58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46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ntistry.ucsf.edu/sites/default/files/2019-03/SOD%20Professionalism%20Evaluation%20Report%20Form%20Fillable%20for%20Web_0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.hughes@ucsf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.kirkland@ucsf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tudentlife.ucsf.edu/policies/campus-activities-orgs-students/10000-policy-on-student-conduct-and-discipline" TargetMode="External"/><Relationship Id="rId10" Type="http://schemas.openxmlformats.org/officeDocument/2006/relationships/hyperlink" Target="https://studentlife.ucsf.edu/policies/campus-activities-orgs-students/10000-policy-on-student-conduct-and-discip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ntistry.ucsf.edu/sites/default/files/2019-03/SOD%20Professionalism%20Action%20Plan%20Follow%20Up%20Form%20Fillable%20for%20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for Handling Breaches of Professionalism</vt:lpstr>
    </vt:vector>
  </TitlesOfParts>
  <Company>UCSF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for Handling Breaches of Professionalism</dc:title>
  <dc:subject/>
  <dc:creator>Armstrong, Pamela D</dc:creator>
  <cp:keywords/>
  <dc:description/>
  <cp:lastModifiedBy>Armstrong, Pamela D</cp:lastModifiedBy>
  <cp:revision>2</cp:revision>
  <dcterms:created xsi:type="dcterms:W3CDTF">2019-03-25T21:04:00Z</dcterms:created>
  <dcterms:modified xsi:type="dcterms:W3CDTF">2019-03-25T21:04:00Z</dcterms:modified>
</cp:coreProperties>
</file>