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72FB7">
      <w:pPr>
        <w:pStyle w:val="Heading1"/>
        <w:rPr>
          <w:rFonts w:eastAsia="Times New Roman"/>
        </w:rPr>
      </w:pPr>
      <w:r>
        <w:rPr>
          <w:rFonts w:eastAsia="Times New Roman"/>
        </w:rPr>
        <w:t>Engagement Policy</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30"/>
        <w:gridCol w:w="3357"/>
      </w:tblGrid>
      <w:tr w:rsidR="00000000">
        <w:trPr>
          <w:divId w:val="137287978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pStyle w:val="NormalWeb"/>
            </w:pPr>
            <w:r>
              <w:rPr>
                <w:rStyle w:val="Strong"/>
              </w:rPr>
              <w:t>Policy Title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pStyle w:val="NormalWeb"/>
            </w:pPr>
            <w:r>
              <w:rPr>
                <w:rStyle w:val="Strong"/>
              </w:rPr>
              <w:t>UCSF SOD Engagement Policy</w:t>
            </w:r>
          </w:p>
        </w:tc>
      </w:tr>
      <w:tr w:rsidR="00000000">
        <w:trPr>
          <w:divId w:val="137287978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pStyle w:val="NormalWeb"/>
            </w:pPr>
            <w:r>
              <w:rPr>
                <w:rStyle w:val="Strong"/>
              </w:rPr>
              <w:t>Published By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pStyle w:val="NormalWeb"/>
            </w:pPr>
            <w:r>
              <w:t>SOD Learner Success Center</w:t>
            </w:r>
          </w:p>
        </w:tc>
      </w:tr>
      <w:tr w:rsidR="00000000">
        <w:trPr>
          <w:divId w:val="137287978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pStyle w:val="NormalWeb"/>
            </w:pPr>
            <w:r>
              <w:rPr>
                <w:rStyle w:val="Strong"/>
              </w:rPr>
              <w:t>Academic 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pStyle w:val="NormalWeb"/>
            </w:pPr>
            <w:r>
              <w:t>2018-2019</w:t>
            </w:r>
          </w:p>
        </w:tc>
      </w:tr>
      <w:tr w:rsidR="00000000">
        <w:trPr>
          <w:divId w:val="137287978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pStyle w:val="NormalWeb"/>
            </w:pPr>
            <w:r>
              <w:rPr>
                <w:rStyle w:val="Strong"/>
              </w:rPr>
              <w:t>Applies 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pStyle w:val="NormalWeb"/>
            </w:pPr>
            <w:proofErr w:type="spellStart"/>
            <w:r>
              <w:t>Predoctoral</w:t>
            </w:r>
            <w:proofErr w:type="spellEnd"/>
            <w:r>
              <w:t xml:space="preserve"> Dental Students</w:t>
            </w:r>
          </w:p>
        </w:tc>
      </w:tr>
      <w:tr w:rsidR="00000000">
        <w:trPr>
          <w:divId w:val="137287978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pStyle w:val="NormalWeb"/>
            </w:pPr>
            <w:r>
              <w:rPr>
                <w:rStyle w:val="Strong"/>
              </w:rPr>
              <w:t>Approved by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pStyle w:val="NormalWeb"/>
            </w:pPr>
            <w:r>
              <w:t>SOD Faculty Council</w:t>
            </w:r>
          </w:p>
        </w:tc>
      </w:tr>
    </w:tbl>
    <w:p w:rsidR="00000000" w:rsidRDefault="00B72FB7">
      <w:pPr>
        <w:pStyle w:val="Heading3"/>
        <w:rPr>
          <w:rFonts w:eastAsia="Times New Roman"/>
        </w:rPr>
      </w:pPr>
      <w:r>
        <w:rPr>
          <w:rFonts w:eastAsia="Times New Roman"/>
          <w:color w:val="FF9900"/>
        </w:rPr>
        <w:t>SOD Engagement Policy</w:t>
      </w:r>
    </w:p>
    <w:p w:rsidR="00000000" w:rsidRDefault="00B72FB7">
      <w:pPr>
        <w:pStyle w:val="Heading3"/>
        <w:rPr>
          <w:rFonts w:eastAsia="Times New Roman"/>
        </w:rPr>
      </w:pPr>
      <w:r>
        <w:rPr>
          <w:rFonts w:eastAsia="Times New Roman"/>
        </w:rPr>
        <w:t>Definition</w:t>
      </w:r>
    </w:p>
    <w:p w:rsidR="00000000" w:rsidRDefault="00B72FB7">
      <w:pPr>
        <w:pStyle w:val="NormalWeb"/>
      </w:pPr>
      <w:r>
        <w:t>The UCSF SOD considers engagement to be an integral part of the dental education process. Consistent engagement enables the student to achieve the highest level of didactic and clinical competence while providing an increased level of dependable comprehens</w:t>
      </w:r>
      <w:r>
        <w:t xml:space="preserve">ive care to patients. The responsibility of patient care and personal education advancement requires regular student participation in all didactic and clinical curriculum and assignments. Students pursuing the Doctor of Dental Surgery (DDS) degree at UCSF </w:t>
      </w:r>
      <w:r>
        <w:t xml:space="preserve">are required to comply with the School's engagement policy in all phases of their education and clinical training. Full participation aligns with accreditation and licensing standards, as well as expectations in clinical practice and patient care. </w:t>
      </w:r>
      <w:r>
        <w:br/>
        <w:t>Engagem</w:t>
      </w:r>
      <w:r>
        <w:t xml:space="preserve">ent is mandatory at all academic and clinical activities including but not limited to class lectures and laboratories, pre-clinical and clinical sessions, clinical rotations, externships, small group sessions, </w:t>
      </w:r>
      <w:proofErr w:type="spellStart"/>
      <w:r>
        <w:t>Kanbar</w:t>
      </w:r>
      <w:proofErr w:type="spellEnd"/>
      <w:r>
        <w:t xml:space="preserve"> Center scheduled sessions, inter-profes</w:t>
      </w:r>
      <w:r>
        <w:t>sional sessions and experience based activities. Students must submit assignments and projects on the due date and follow all protocol in regard to assessment policies. In addition to this policy, students must follow all procedures as listed in the UCSF S</w:t>
      </w:r>
      <w:r>
        <w:t>chool of Dentistry Laboratory and Clinics Policies and Procedures Manual if they are absent for any clinical activity.</w:t>
      </w:r>
    </w:p>
    <w:p w:rsidR="00000000" w:rsidRDefault="00B72FB7">
      <w:pPr>
        <w:pStyle w:val="NormalWeb"/>
      </w:pPr>
      <w:r>
        <w:br/>
        <w:t>Except during days on which UCSF and/or the UCSF SOD is closed or when specific communication regarding clinic and/or class closure is c</w:t>
      </w:r>
      <w:r>
        <w:t>ommunicated to students, they are expected to attend classes, examinations, and clinics Monday through Friday throughout the school year. A student whose pattern of absence, tardiness, and/or failure to meet deadlines suggests a failure to demonstrate prof</w:t>
      </w:r>
      <w:r>
        <w:t>essional growth and hence will be subject to disciplinary action that could include dismissal.</w:t>
      </w:r>
    </w:p>
    <w:p w:rsidR="00000000" w:rsidRDefault="00B72FB7">
      <w:pPr>
        <w:pStyle w:val="Heading3"/>
        <w:rPr>
          <w:rFonts w:eastAsia="Times New Roman"/>
        </w:rPr>
      </w:pPr>
      <w:r>
        <w:rPr>
          <w:rFonts w:eastAsia="Times New Roman"/>
        </w:rPr>
        <w:t>Implementation</w:t>
      </w:r>
    </w:p>
    <w:p w:rsidR="00000000" w:rsidRDefault="00B72FB7">
      <w:pPr>
        <w:pStyle w:val="Heading3"/>
        <w:rPr>
          <w:rFonts w:eastAsia="Times New Roman"/>
        </w:rPr>
      </w:pPr>
      <w:r>
        <w:rPr>
          <w:rFonts w:eastAsia="Times New Roman"/>
          <w:color w:val="FF9900"/>
        </w:rPr>
        <w:t>Absences from the following courses:</w:t>
      </w:r>
      <w:r>
        <w:rPr>
          <w:rFonts w:eastAsia="Times New Roman"/>
        </w:rPr>
        <w:t xml:space="preserve">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4"/>
        <w:gridCol w:w="6025"/>
      </w:tblGrid>
      <w:tr w:rsidR="00000000">
        <w:trPr>
          <w:divId w:val="115503144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rPr>
                <w:rFonts w:eastAsia="Times New Roman"/>
              </w:rPr>
            </w:pPr>
            <w:r>
              <w:rPr>
                <w:rFonts w:eastAsia="Times New Roman"/>
                <w:color w:val="000000"/>
              </w:rPr>
              <w:lastRenderedPageBreak/>
              <w:t>D1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rPr>
                <w:rFonts w:eastAsia="Times New Roman"/>
              </w:rPr>
            </w:pPr>
            <w:r>
              <w:rPr>
                <w:rFonts w:eastAsia="Times New Roman"/>
                <w:color w:val="000000"/>
              </w:rPr>
              <w:t>All Courses</w:t>
            </w:r>
          </w:p>
        </w:tc>
      </w:tr>
      <w:tr w:rsidR="00000000">
        <w:trPr>
          <w:divId w:val="115503144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rPr>
                <w:rFonts w:eastAsia="Times New Roman"/>
              </w:rPr>
            </w:pPr>
            <w:r>
              <w:rPr>
                <w:rFonts w:eastAsia="Times New Roman"/>
                <w:color w:val="000000"/>
              </w:rPr>
              <w:t>D2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rPr>
                <w:rFonts w:eastAsia="Times New Roman"/>
              </w:rPr>
            </w:pPr>
            <w:r>
              <w:rPr>
                <w:rFonts w:eastAsia="Times New Roman"/>
                <w:color w:val="000000"/>
              </w:rPr>
              <w:t>All courses</w:t>
            </w:r>
          </w:p>
        </w:tc>
      </w:tr>
      <w:tr w:rsidR="00000000">
        <w:trPr>
          <w:divId w:val="115503144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rPr>
                <w:rFonts w:eastAsia="Times New Roman"/>
              </w:rPr>
            </w:pPr>
            <w:r>
              <w:rPr>
                <w:rFonts w:eastAsia="Times New Roman"/>
                <w:color w:val="000000"/>
              </w:rPr>
              <w:t>ID3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rPr>
                <w:rFonts w:eastAsia="Times New Roman"/>
              </w:rPr>
            </w:pPr>
            <w:r>
              <w:rPr>
                <w:rFonts w:eastAsia="Times New Roman"/>
                <w:color w:val="000000"/>
              </w:rPr>
              <w:t xml:space="preserve">PRDS 106, PRDS 104, </w:t>
            </w:r>
            <w:proofErr w:type="spellStart"/>
            <w:r>
              <w:rPr>
                <w:rFonts w:eastAsia="Times New Roman"/>
                <w:color w:val="000000"/>
              </w:rPr>
              <w:t>DentSci</w:t>
            </w:r>
            <w:proofErr w:type="spellEnd"/>
            <w:r>
              <w:rPr>
                <w:rFonts w:eastAsia="Times New Roman"/>
                <w:color w:val="000000"/>
              </w:rPr>
              <w:t xml:space="preserve"> 125, </w:t>
            </w:r>
            <w:proofErr w:type="spellStart"/>
            <w:r>
              <w:rPr>
                <w:rFonts w:eastAsia="Times New Roman"/>
                <w:color w:val="000000"/>
              </w:rPr>
              <w:t>SciMeth</w:t>
            </w:r>
            <w:proofErr w:type="spellEnd"/>
            <w:r>
              <w:rPr>
                <w:rFonts w:eastAsia="Times New Roman"/>
                <w:color w:val="000000"/>
              </w:rPr>
              <w:t xml:space="preserve"> 117, BMS 127</w:t>
            </w:r>
          </w:p>
        </w:tc>
      </w:tr>
      <w:tr w:rsidR="00000000">
        <w:trPr>
          <w:divId w:val="115503144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rPr>
                <w:rFonts w:eastAsia="Times New Roman"/>
              </w:rPr>
            </w:pPr>
            <w:r>
              <w:rPr>
                <w:rFonts w:eastAsia="Times New Roman"/>
                <w:color w:val="000000"/>
              </w:rPr>
              <w:t>D3/ID3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rPr>
                <w:rFonts w:eastAsia="Times New Roman"/>
              </w:rPr>
            </w:pPr>
            <w:r>
              <w:rPr>
                <w:rFonts w:eastAsia="Times New Roman"/>
                <w:color w:val="000000"/>
              </w:rPr>
              <w:t>PCC 131, PCC 132, PCC 133, PCC 134</w:t>
            </w:r>
          </w:p>
        </w:tc>
      </w:tr>
      <w:tr w:rsidR="00000000">
        <w:trPr>
          <w:divId w:val="115503144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rPr>
                <w:rFonts w:eastAsia="Times New Roman"/>
              </w:rPr>
            </w:pPr>
            <w:r>
              <w:rPr>
                <w:rFonts w:eastAsia="Times New Roman"/>
                <w:color w:val="000000"/>
              </w:rPr>
              <w:t>D4/ID4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000000" w:rsidRDefault="00B72FB7">
            <w:pPr>
              <w:rPr>
                <w:rFonts w:eastAsia="Times New Roman"/>
              </w:rPr>
            </w:pPr>
            <w:r>
              <w:rPr>
                <w:rFonts w:eastAsia="Times New Roman"/>
                <w:color w:val="000000"/>
              </w:rPr>
              <w:t>PCC 146</w:t>
            </w:r>
          </w:p>
        </w:tc>
      </w:tr>
    </w:tbl>
    <w:p w:rsidR="00000000" w:rsidRDefault="00B72FB7">
      <w:pPr>
        <w:pStyle w:val="NormalWeb"/>
      </w:pPr>
      <w:r>
        <w:t> </w:t>
      </w:r>
      <w:r>
        <w:br/>
        <w:t xml:space="preserve">All absences from the above, must follow the procedures as outlined in the </w:t>
      </w:r>
      <w:hyperlink r:id="rId5" w:history="1">
        <w:r>
          <w:rPr>
            <w:rStyle w:val="Hyperlink"/>
          </w:rPr>
          <w:t>SOD Absence Procedures</w:t>
        </w:r>
      </w:hyperlink>
      <w:r>
        <w:t xml:space="preserve"> which include the following:</w:t>
      </w:r>
    </w:p>
    <w:p w:rsidR="00000000" w:rsidRDefault="00B72FB7">
      <w:pPr>
        <w:numPr>
          <w:ilvl w:val="0"/>
          <w:numId w:val="1"/>
        </w:numPr>
        <w:spacing w:before="100" w:beforeAutospacing="1" w:after="100" w:afterAutospacing="1"/>
        <w:rPr>
          <w:rFonts w:eastAsia="Times New Roman"/>
        </w:rPr>
      </w:pPr>
      <w:r>
        <w:rPr>
          <w:rFonts w:eastAsia="Times New Roman"/>
        </w:rPr>
        <w:t>Unplanned Absences (</w:t>
      </w:r>
      <w:r>
        <w:rPr>
          <w:rFonts w:eastAsia="Times New Roman"/>
        </w:rPr>
        <w:t>illness or emergency)</w:t>
      </w:r>
    </w:p>
    <w:p w:rsidR="00000000" w:rsidRDefault="00B72FB7">
      <w:pPr>
        <w:numPr>
          <w:ilvl w:val="0"/>
          <w:numId w:val="1"/>
        </w:numPr>
        <w:spacing w:before="100" w:beforeAutospacing="1" w:after="100" w:afterAutospacing="1"/>
        <w:rPr>
          <w:rFonts w:eastAsia="Times New Roman"/>
        </w:rPr>
      </w:pPr>
      <w:r>
        <w:rPr>
          <w:rFonts w:eastAsia="Times New Roman"/>
        </w:rPr>
        <w:t>Discretionary Absences</w:t>
      </w:r>
    </w:p>
    <w:p w:rsidR="00000000" w:rsidRDefault="00B72FB7">
      <w:pPr>
        <w:numPr>
          <w:ilvl w:val="0"/>
          <w:numId w:val="1"/>
        </w:numPr>
        <w:spacing w:before="100" w:beforeAutospacing="1" w:after="100" w:afterAutospacing="1"/>
        <w:rPr>
          <w:rFonts w:eastAsia="Times New Roman"/>
        </w:rPr>
      </w:pPr>
      <w:r>
        <w:rPr>
          <w:rFonts w:eastAsia="Times New Roman"/>
        </w:rPr>
        <w:t>Religious Accommodation Guidelines</w:t>
      </w:r>
    </w:p>
    <w:p w:rsidR="00000000" w:rsidRDefault="00B72FB7">
      <w:pPr>
        <w:numPr>
          <w:ilvl w:val="0"/>
          <w:numId w:val="1"/>
        </w:numPr>
        <w:spacing w:before="100" w:beforeAutospacing="1" w:after="100" w:afterAutospacing="1"/>
        <w:rPr>
          <w:rFonts w:eastAsia="Times New Roman"/>
        </w:rPr>
      </w:pPr>
      <w:r>
        <w:rPr>
          <w:rFonts w:eastAsia="Times New Roman"/>
        </w:rPr>
        <w:t>Non-Discretionary Planned Absences</w:t>
      </w:r>
    </w:p>
    <w:p w:rsidR="00000000" w:rsidRDefault="00B72FB7">
      <w:pPr>
        <w:pStyle w:val="NormalWeb"/>
      </w:pPr>
      <w:r>
        <w:rPr>
          <w:rStyle w:val="Strong"/>
          <w:u w:val="single"/>
        </w:rPr>
        <w:t>Unplanned Absences (illness or emergency)</w:t>
      </w:r>
    </w:p>
    <w:p w:rsidR="00000000" w:rsidRDefault="00B72FB7">
      <w:pPr>
        <w:numPr>
          <w:ilvl w:val="0"/>
          <w:numId w:val="2"/>
        </w:numPr>
        <w:spacing w:before="100" w:beforeAutospacing="1" w:after="100" w:afterAutospacing="1"/>
        <w:rPr>
          <w:rFonts w:eastAsia="Times New Roman"/>
        </w:rPr>
      </w:pPr>
      <w:r>
        <w:rPr>
          <w:rFonts w:eastAsia="Times New Roman"/>
        </w:rPr>
        <w:t> </w:t>
      </w:r>
      <w:r>
        <w:rPr>
          <w:rFonts w:eastAsia="Times New Roman"/>
        </w:rPr>
        <w:t xml:space="preserve">In case of illness, accident, or family emergency, students must follow the procedures as outlined the unplanned absence instructions in the </w:t>
      </w:r>
      <w:hyperlink r:id="rId6" w:history="1">
        <w:r>
          <w:rPr>
            <w:rStyle w:val="Hyperlink"/>
            <w:rFonts w:eastAsia="Times New Roman"/>
          </w:rPr>
          <w:t>SOD Absence Procedures</w:t>
        </w:r>
      </w:hyperlink>
      <w:r>
        <w:rPr>
          <w:rFonts w:eastAsia="Times New Roman"/>
        </w:rPr>
        <w:t>. For a</w:t>
      </w:r>
      <w:r>
        <w:rPr>
          <w:rFonts w:eastAsia="Times New Roman"/>
        </w:rPr>
        <w:t xml:space="preserve">bsence from midterm or final examinations due to illness, emergency, or accident, please review the Make-Up Exam instructions in the </w:t>
      </w:r>
      <w:hyperlink r:id="rId7" w:history="1">
        <w:r>
          <w:rPr>
            <w:rStyle w:val="Hyperlink"/>
            <w:rFonts w:eastAsia="Times New Roman"/>
          </w:rPr>
          <w:t>SOD Absence Procedures</w:t>
        </w:r>
      </w:hyperlink>
      <w:r>
        <w:rPr>
          <w:rFonts w:eastAsia="Times New Roman"/>
        </w:rPr>
        <w:t>.</w:t>
      </w:r>
    </w:p>
    <w:p w:rsidR="00000000" w:rsidRDefault="00B72FB7">
      <w:pPr>
        <w:numPr>
          <w:ilvl w:val="0"/>
          <w:numId w:val="2"/>
        </w:numPr>
        <w:spacing w:before="100" w:beforeAutospacing="1" w:after="100" w:afterAutospacing="1"/>
        <w:rPr>
          <w:rFonts w:eastAsia="Times New Roman"/>
        </w:rPr>
      </w:pPr>
      <w:r>
        <w:rPr>
          <w:rFonts w:eastAsia="Times New Roman"/>
        </w:rPr>
        <w:t xml:space="preserve">Absences for </w:t>
      </w:r>
      <w:r>
        <w:rPr>
          <w:rFonts w:eastAsia="Times New Roman"/>
        </w:rPr>
        <w:t>illness or emergency over three days will require documentation from a medical professional and/or a Written Support Plan.</w:t>
      </w:r>
    </w:p>
    <w:p w:rsidR="00000000" w:rsidRDefault="00B72FB7">
      <w:pPr>
        <w:pStyle w:val="NormalWeb"/>
      </w:pPr>
      <w:r>
        <w:rPr>
          <w:rStyle w:val="Strong"/>
          <w:u w:val="single"/>
        </w:rPr>
        <w:t>Discretionary Absences</w:t>
      </w:r>
    </w:p>
    <w:p w:rsidR="00000000" w:rsidRDefault="00B72FB7">
      <w:pPr>
        <w:numPr>
          <w:ilvl w:val="0"/>
          <w:numId w:val="3"/>
        </w:numPr>
        <w:spacing w:before="100" w:beforeAutospacing="1" w:after="100" w:afterAutospacing="1"/>
        <w:rPr>
          <w:rFonts w:eastAsia="Times New Roman"/>
        </w:rPr>
      </w:pPr>
      <w:r>
        <w:rPr>
          <w:rFonts w:eastAsia="Times New Roman"/>
        </w:rPr>
        <w:t xml:space="preserve">Students are allowed up to </w:t>
      </w:r>
      <w:r>
        <w:rPr>
          <w:rStyle w:val="Strong"/>
          <w:rFonts w:eastAsia="Times New Roman"/>
          <w:u w:val="single"/>
        </w:rPr>
        <w:t>THREE</w:t>
      </w:r>
      <w:r>
        <w:rPr>
          <w:rFonts w:eastAsia="Times New Roman"/>
        </w:rPr>
        <w:t xml:space="preserve"> discretionary absence days per academic year (June to May) for personal and p</w:t>
      </w:r>
      <w:r>
        <w:rPr>
          <w:rFonts w:eastAsia="Times New Roman"/>
        </w:rPr>
        <w:t xml:space="preserve">rofessional commitments. Discretionary absences will be tracked and requests over three will not be accepted. </w:t>
      </w:r>
    </w:p>
    <w:p w:rsidR="00000000" w:rsidRDefault="00B72FB7">
      <w:pPr>
        <w:numPr>
          <w:ilvl w:val="1"/>
          <w:numId w:val="3"/>
        </w:numPr>
        <w:spacing w:before="100" w:beforeAutospacing="1" w:after="100" w:afterAutospacing="1"/>
        <w:rPr>
          <w:rFonts w:eastAsia="Times New Roman"/>
        </w:rPr>
      </w:pPr>
      <w:r>
        <w:rPr>
          <w:rFonts w:eastAsia="Times New Roman"/>
        </w:rPr>
        <w:t>Students should carefully consider the impact of their absence on their ability to complete course requirements.</w:t>
      </w:r>
    </w:p>
    <w:p w:rsidR="00000000" w:rsidRDefault="00B72FB7">
      <w:pPr>
        <w:numPr>
          <w:ilvl w:val="1"/>
          <w:numId w:val="3"/>
        </w:numPr>
        <w:spacing w:before="100" w:beforeAutospacing="1" w:after="100" w:afterAutospacing="1"/>
        <w:rPr>
          <w:rFonts w:eastAsia="Times New Roman"/>
        </w:rPr>
      </w:pPr>
      <w:r>
        <w:rPr>
          <w:rFonts w:eastAsia="Times New Roman"/>
        </w:rPr>
        <w:t>Students must independently make</w:t>
      </w:r>
      <w:r>
        <w:rPr>
          <w:rFonts w:eastAsia="Times New Roman"/>
        </w:rPr>
        <w:t xml:space="preserve"> up any work on their own time. Failure to do so could impact grades and may require them to repeat course(s).</w:t>
      </w:r>
    </w:p>
    <w:p w:rsidR="00000000" w:rsidRDefault="00B72FB7">
      <w:pPr>
        <w:numPr>
          <w:ilvl w:val="1"/>
          <w:numId w:val="3"/>
        </w:numPr>
        <w:spacing w:before="100" w:beforeAutospacing="1" w:after="100" w:afterAutospacing="1"/>
        <w:rPr>
          <w:rFonts w:eastAsia="Times New Roman"/>
        </w:rPr>
      </w:pPr>
      <w:r>
        <w:rPr>
          <w:rFonts w:eastAsia="Times New Roman"/>
        </w:rPr>
        <w:t>If there is a discrepancy in the XO Grid regarding ISO time and scheduled class time, students should contact the Curriculum Support Office immed</w:t>
      </w:r>
      <w:r>
        <w:rPr>
          <w:rFonts w:eastAsia="Times New Roman"/>
        </w:rPr>
        <w:t>iately.</w:t>
      </w:r>
    </w:p>
    <w:p w:rsidR="00000000" w:rsidRDefault="00B72FB7">
      <w:pPr>
        <w:numPr>
          <w:ilvl w:val="0"/>
          <w:numId w:val="3"/>
        </w:numPr>
        <w:spacing w:before="100" w:beforeAutospacing="1" w:after="100" w:afterAutospacing="1"/>
        <w:rPr>
          <w:rFonts w:eastAsia="Times New Roman"/>
        </w:rPr>
      </w:pPr>
      <w:r>
        <w:rPr>
          <w:rFonts w:eastAsia="Times New Roman"/>
        </w:rPr>
        <w:t xml:space="preserve">Discretionary absences are any requested absences for the following: </w:t>
      </w:r>
    </w:p>
    <w:p w:rsidR="00000000" w:rsidRDefault="00B72FB7">
      <w:pPr>
        <w:numPr>
          <w:ilvl w:val="1"/>
          <w:numId w:val="3"/>
        </w:numPr>
        <w:spacing w:before="100" w:beforeAutospacing="1" w:after="100" w:afterAutospacing="1"/>
        <w:rPr>
          <w:rFonts w:eastAsia="Times New Roman"/>
        </w:rPr>
      </w:pPr>
      <w:r>
        <w:rPr>
          <w:rFonts w:eastAsia="Times New Roman"/>
        </w:rPr>
        <w:t>Professional activities/conferences (e.g. ADEA)</w:t>
      </w:r>
    </w:p>
    <w:p w:rsidR="00000000" w:rsidRDefault="00B72FB7">
      <w:pPr>
        <w:numPr>
          <w:ilvl w:val="1"/>
          <w:numId w:val="3"/>
        </w:numPr>
        <w:spacing w:before="100" w:beforeAutospacing="1" w:after="100" w:afterAutospacing="1"/>
        <w:rPr>
          <w:rFonts w:eastAsia="Times New Roman"/>
        </w:rPr>
      </w:pPr>
      <w:r>
        <w:rPr>
          <w:rFonts w:eastAsia="Times New Roman"/>
        </w:rPr>
        <w:t>Important family events (e.g. weddings, family milestones)</w:t>
      </w:r>
    </w:p>
    <w:p w:rsidR="00000000" w:rsidRDefault="00B72FB7">
      <w:pPr>
        <w:numPr>
          <w:ilvl w:val="0"/>
          <w:numId w:val="3"/>
        </w:numPr>
        <w:spacing w:before="100" w:beforeAutospacing="1" w:after="100" w:afterAutospacing="1"/>
        <w:rPr>
          <w:rFonts w:eastAsia="Times New Roman"/>
        </w:rPr>
      </w:pPr>
      <w:r>
        <w:rPr>
          <w:rFonts w:eastAsia="Times New Roman"/>
        </w:rPr>
        <w:t xml:space="preserve"> Discretionary absence days </w:t>
      </w:r>
      <w:r>
        <w:rPr>
          <w:rFonts w:eastAsia="Times New Roman"/>
          <w:u w:val="single"/>
        </w:rPr>
        <w:t>should not be requested for the following:</w:t>
      </w:r>
      <w:r>
        <w:rPr>
          <w:rFonts w:eastAsia="Times New Roman"/>
        </w:rPr>
        <w:t xml:space="preserve"> </w:t>
      </w:r>
    </w:p>
    <w:p w:rsidR="00000000" w:rsidRDefault="00B72FB7">
      <w:pPr>
        <w:numPr>
          <w:ilvl w:val="1"/>
          <w:numId w:val="3"/>
        </w:numPr>
        <w:spacing w:before="100" w:beforeAutospacing="1" w:after="100" w:afterAutospacing="1"/>
        <w:rPr>
          <w:rFonts w:eastAsia="Times New Roman"/>
        </w:rPr>
      </w:pPr>
      <w:r>
        <w:rPr>
          <w:rFonts w:eastAsia="Times New Roman"/>
        </w:rPr>
        <w:t>On days of course final or midterm examinations (note: exceptions will be made for students in good standing* attending ADEA or IADR during winter final exams)</w:t>
      </w:r>
    </w:p>
    <w:p w:rsidR="00000000" w:rsidRDefault="00B72FB7">
      <w:pPr>
        <w:numPr>
          <w:ilvl w:val="1"/>
          <w:numId w:val="3"/>
        </w:numPr>
        <w:spacing w:before="100" w:beforeAutospacing="1" w:after="100" w:afterAutospacing="1"/>
        <w:rPr>
          <w:rFonts w:eastAsia="Times New Roman"/>
        </w:rPr>
      </w:pPr>
      <w:r>
        <w:rPr>
          <w:rFonts w:eastAsia="Times New Roman"/>
        </w:rPr>
        <w:lastRenderedPageBreak/>
        <w:t>During any activities for which work and examinations cannot be made up during the same quarter</w:t>
      </w:r>
      <w:r>
        <w:rPr>
          <w:rFonts w:eastAsia="Times New Roman"/>
        </w:rPr>
        <w:t xml:space="preserve"> (e.g., lab work, clinic sessions, group work)</w:t>
      </w:r>
    </w:p>
    <w:p w:rsidR="00000000" w:rsidRDefault="00B72FB7">
      <w:pPr>
        <w:numPr>
          <w:ilvl w:val="1"/>
          <w:numId w:val="3"/>
        </w:numPr>
        <w:spacing w:before="100" w:beforeAutospacing="1" w:after="100" w:afterAutospacing="1"/>
        <w:rPr>
          <w:rFonts w:eastAsia="Times New Roman"/>
        </w:rPr>
      </w:pPr>
      <w:r>
        <w:rPr>
          <w:rFonts w:eastAsia="Times New Roman"/>
        </w:rPr>
        <w:t>During scheduled inter-professional learning experiences (PCC 111, 112, 113, 114)</w:t>
      </w:r>
    </w:p>
    <w:p w:rsidR="00000000" w:rsidRDefault="00B72FB7">
      <w:pPr>
        <w:pStyle w:val="NormalWeb"/>
      </w:pPr>
      <w:r>
        <w:t>*</w:t>
      </w:r>
      <w:r>
        <w:rPr>
          <w:rStyle w:val="Emphasis"/>
        </w:rPr>
        <w:t>Good Standing defined as no Incomplete (I), No Pass (NP), or Unsatisfactory Progress (UP) grades on student transcript</w:t>
      </w:r>
    </w:p>
    <w:p w:rsidR="00000000" w:rsidRDefault="00B72FB7">
      <w:pPr>
        <w:pStyle w:val="NormalWeb"/>
      </w:pPr>
      <w:r>
        <w:rPr>
          <w:rStyle w:val="Strong"/>
          <w:u w:val="single"/>
        </w:rPr>
        <w:t>Planned</w:t>
      </w:r>
      <w:r>
        <w:rPr>
          <w:rStyle w:val="Strong"/>
          <w:u w:val="single"/>
        </w:rPr>
        <w:t xml:space="preserve"> Absence for Religious Observance</w:t>
      </w:r>
    </w:p>
    <w:p w:rsidR="00000000" w:rsidRDefault="00B72FB7">
      <w:pPr>
        <w:pStyle w:val="NormalWeb"/>
      </w:pPr>
      <w:r>
        <w:t>The School of Dentistry community is enriched by individuals of many faiths that have various religious observances, practices and beliefs. Our School is committed to providing an academic and work environment that is resp</w:t>
      </w:r>
      <w:r>
        <w:t>ectful of any religious beliefs.  As part of this commitment, the School seeks to establish uniform guidelines to promote a work and educational environment that is respectful of people’s religious beliefs and to ensure compliance with policy related to re</w:t>
      </w:r>
      <w:r>
        <w:t>ligion and creed.  To that end, the School of Dentistry makes good faith efforts to accommodate the religious practice or sincerely held beliefs of learners, faculty, non-faculty academic and staff employees (and/or prospective learner, faculty, non-facult</w:t>
      </w:r>
      <w:r>
        <w:t>y academic/staff employee) that may conflict with policy, procedure, or other academic or employment requirement, unless such an accommodation would create an undue hardship.</w:t>
      </w:r>
    </w:p>
    <w:p w:rsidR="00000000" w:rsidRDefault="00B72FB7">
      <w:pPr>
        <w:numPr>
          <w:ilvl w:val="0"/>
          <w:numId w:val="4"/>
        </w:numPr>
        <w:spacing w:before="100" w:beforeAutospacing="1" w:after="100" w:afterAutospacing="1"/>
        <w:rPr>
          <w:rFonts w:eastAsia="Times New Roman"/>
        </w:rPr>
      </w:pPr>
      <w:r>
        <w:rPr>
          <w:rFonts w:eastAsia="Times New Roman"/>
        </w:rPr>
        <w:t>Requests for an absence for a religious observance must be received at least thre</w:t>
      </w:r>
      <w:r>
        <w:rPr>
          <w:rFonts w:eastAsia="Times New Roman"/>
        </w:rPr>
        <w:t>e (3) months in advance, or as soon as they become aware, of their need for religious accommodation.</w:t>
      </w:r>
    </w:p>
    <w:p w:rsidR="00000000" w:rsidRDefault="00B72FB7">
      <w:pPr>
        <w:numPr>
          <w:ilvl w:val="0"/>
          <w:numId w:val="4"/>
        </w:numPr>
        <w:spacing w:before="100" w:beforeAutospacing="1" w:after="100" w:afterAutospacing="1"/>
        <w:rPr>
          <w:rFonts w:eastAsia="Times New Roman"/>
        </w:rPr>
      </w:pPr>
      <w:r>
        <w:rPr>
          <w:rFonts w:eastAsia="Times New Roman"/>
        </w:rPr>
        <w:t>Requests for an absence for a religious observance does not count toward the three allowed discretionary absences.</w:t>
      </w:r>
    </w:p>
    <w:p w:rsidR="00000000" w:rsidRDefault="00B72FB7">
      <w:pPr>
        <w:numPr>
          <w:ilvl w:val="0"/>
          <w:numId w:val="4"/>
        </w:numPr>
        <w:spacing w:before="100" w:beforeAutospacing="1" w:after="100" w:afterAutospacing="1"/>
        <w:rPr>
          <w:rFonts w:eastAsia="Times New Roman"/>
        </w:rPr>
      </w:pPr>
      <w:r>
        <w:rPr>
          <w:rFonts w:eastAsia="Times New Roman"/>
        </w:rPr>
        <w:t xml:space="preserve">Please refer to the </w:t>
      </w:r>
      <w:hyperlink r:id="rId8" w:history="1">
        <w:r>
          <w:rPr>
            <w:rStyle w:val="Hyperlink"/>
            <w:rFonts w:eastAsia="Times New Roman"/>
          </w:rPr>
          <w:t>Religious Accommodation Guidelines</w:t>
        </w:r>
      </w:hyperlink>
      <w:r>
        <w:rPr>
          <w:rFonts w:eastAsia="Times New Roman"/>
        </w:rPr>
        <w:t xml:space="preserve"> for more information.</w:t>
      </w:r>
    </w:p>
    <w:p w:rsidR="00000000" w:rsidRDefault="00B72FB7">
      <w:pPr>
        <w:pStyle w:val="NormalWeb"/>
      </w:pPr>
      <w:r>
        <w:t xml:space="preserve">4. </w:t>
      </w:r>
      <w:r>
        <w:rPr>
          <w:rStyle w:val="Strong"/>
          <w:u w:val="single"/>
        </w:rPr>
        <w:t>Non-Discretionary Planned Absences</w:t>
      </w:r>
    </w:p>
    <w:p w:rsidR="00000000" w:rsidRDefault="00B72FB7">
      <w:pPr>
        <w:pStyle w:val="NormalWeb"/>
      </w:pPr>
      <w:r>
        <w:t>For non-discretionary planned absences (short term emergency, medical, parental) please refer to the relev</w:t>
      </w:r>
      <w:r>
        <w:t>ant policy, if applicable (</w:t>
      </w:r>
      <w:r>
        <w:rPr>
          <w:rStyle w:val="Emphasis"/>
        </w:rPr>
        <w:t>e.g.,</w:t>
      </w:r>
      <w:r>
        <w:t xml:space="preserve"> Withdrawal and Leave of Absence, Parental Leave Policy) in the </w:t>
      </w:r>
      <w:hyperlink r:id="rId9" w:history="1">
        <w:r>
          <w:rPr>
            <w:rStyle w:val="Hyperlink"/>
          </w:rPr>
          <w:t>SOD Education: Student Hand</w:t>
        </w:r>
        <w:r>
          <w:rPr>
            <w:rStyle w:val="Hyperlink"/>
          </w:rPr>
          <w:t>book, Policies and Procedures</w:t>
        </w:r>
      </w:hyperlink>
      <w:r>
        <w:t xml:space="preserve"> as well as the </w:t>
      </w:r>
      <w:hyperlink r:id="rId10" w:history="1">
        <w:r>
          <w:rPr>
            <w:rStyle w:val="Hyperlink"/>
          </w:rPr>
          <w:t>Procedures for Non-Discretionary Planned Absences</w:t>
        </w:r>
      </w:hyperlink>
      <w:r>
        <w:t>.</w:t>
      </w:r>
    </w:p>
    <w:p w:rsidR="00000000" w:rsidRDefault="00B72FB7">
      <w:pPr>
        <w:pStyle w:val="Heading3"/>
        <w:rPr>
          <w:rFonts w:eastAsia="Times New Roman"/>
        </w:rPr>
      </w:pPr>
      <w:r>
        <w:rPr>
          <w:rFonts w:eastAsia="Times New Roman"/>
          <w:color w:val="FF9900"/>
        </w:rPr>
        <w:t>All Other Absences for Dental Year Three and Four (domestic and international): </w:t>
      </w:r>
    </w:p>
    <w:p w:rsidR="00000000" w:rsidRDefault="00B72FB7">
      <w:pPr>
        <w:pStyle w:val="NormalWeb"/>
      </w:pPr>
      <w:r>
        <w:rPr>
          <w:rStyle w:val="Strong"/>
          <w:u w:val="single"/>
        </w:rPr>
        <w:t>Planned Absence for Relig</w:t>
      </w:r>
      <w:r>
        <w:rPr>
          <w:rStyle w:val="Strong"/>
          <w:u w:val="single"/>
        </w:rPr>
        <w:t>ious Observance</w:t>
      </w:r>
    </w:p>
    <w:p w:rsidR="00000000" w:rsidRDefault="00B72FB7">
      <w:pPr>
        <w:pStyle w:val="NormalWeb"/>
      </w:pPr>
      <w:r>
        <w:t>The School of Dentistry community is enriched by individuals of many faiths that have various religious observances, practices and beliefs. Our School is committed to providing an academic and work environment that is respectful of any reli</w:t>
      </w:r>
      <w:r>
        <w:t>gious beliefs.  As part of this commitment, the School seeks to establish uniform guidelines to promote a work and educational environment that is respectful of people’s religious beliefs and to ensure compliance with policy related to religion and creed. </w:t>
      </w:r>
      <w:r>
        <w:t xml:space="preserve"> To that end, the School of Dentistry makes good faith efforts to </w:t>
      </w:r>
      <w:r>
        <w:lastRenderedPageBreak/>
        <w:t>accommodate the religious practice or sincerely held beliefs of learners, faculty, non-faculty academic and staff employees (and/or prospective learner, faculty, non-faculty academic/staff e</w:t>
      </w:r>
      <w:r>
        <w:t>mployee) that may conflict with policy, procedure, or other academic or employment requirement, unless such an accommodation would create an undue hardship.</w:t>
      </w:r>
    </w:p>
    <w:p w:rsidR="00000000" w:rsidRDefault="00B72FB7">
      <w:pPr>
        <w:numPr>
          <w:ilvl w:val="0"/>
          <w:numId w:val="5"/>
        </w:numPr>
        <w:spacing w:before="100" w:beforeAutospacing="1" w:after="100" w:afterAutospacing="1"/>
        <w:rPr>
          <w:rFonts w:eastAsia="Times New Roman"/>
        </w:rPr>
      </w:pPr>
      <w:r>
        <w:rPr>
          <w:rFonts w:eastAsia="Times New Roman"/>
        </w:rPr>
        <w:t>Requests for an absence for a religious observance must be received at least three (3) months in ad</w:t>
      </w:r>
      <w:r>
        <w:rPr>
          <w:rFonts w:eastAsia="Times New Roman"/>
        </w:rPr>
        <w:t>vance, or as soon as they become aware, of their need for religious accommodation.</w:t>
      </w:r>
    </w:p>
    <w:p w:rsidR="00000000" w:rsidRDefault="00B72FB7">
      <w:pPr>
        <w:numPr>
          <w:ilvl w:val="0"/>
          <w:numId w:val="5"/>
        </w:numPr>
        <w:spacing w:before="100" w:beforeAutospacing="1" w:after="100" w:afterAutospacing="1"/>
        <w:rPr>
          <w:rFonts w:eastAsia="Times New Roman"/>
        </w:rPr>
      </w:pPr>
      <w:r>
        <w:rPr>
          <w:rFonts w:eastAsia="Times New Roman"/>
        </w:rPr>
        <w:t>Requests for an absence for a religious observance does not count toward the three allowed discretionary absences.</w:t>
      </w:r>
    </w:p>
    <w:p w:rsidR="00000000" w:rsidRDefault="00B72FB7">
      <w:pPr>
        <w:numPr>
          <w:ilvl w:val="0"/>
          <w:numId w:val="5"/>
        </w:numPr>
        <w:spacing w:before="100" w:beforeAutospacing="1" w:after="100" w:afterAutospacing="1"/>
        <w:rPr>
          <w:rFonts w:eastAsia="Times New Roman"/>
        </w:rPr>
      </w:pPr>
      <w:r>
        <w:rPr>
          <w:rFonts w:eastAsia="Times New Roman"/>
        </w:rPr>
        <w:t xml:space="preserve">Please refer to the </w:t>
      </w:r>
      <w:hyperlink r:id="rId11" w:history="1">
        <w:r>
          <w:rPr>
            <w:rStyle w:val="Hyperlink"/>
            <w:rFonts w:eastAsia="Times New Roman"/>
          </w:rPr>
          <w:t>Religious Accommodation Guidelines</w:t>
        </w:r>
      </w:hyperlink>
      <w:r>
        <w:rPr>
          <w:rFonts w:eastAsia="Times New Roman"/>
        </w:rPr>
        <w:t xml:space="preserve"> for more information.</w:t>
      </w:r>
    </w:p>
    <w:p w:rsidR="00000000" w:rsidRDefault="00B72FB7">
      <w:pPr>
        <w:pStyle w:val="NormalWeb"/>
      </w:pPr>
      <w:r>
        <w:rPr>
          <w:rStyle w:val="Strong"/>
          <w:u w:val="single"/>
        </w:rPr>
        <w:t>Non-Discretionary Planned Absences</w:t>
      </w:r>
    </w:p>
    <w:p w:rsidR="00000000" w:rsidRDefault="00B72FB7">
      <w:pPr>
        <w:pStyle w:val="NormalWeb"/>
      </w:pPr>
      <w:r>
        <w:t>For non-discretionary planned absences (short term emergency, medical, parental) please refer to the relevant policy, if applicable (</w:t>
      </w:r>
      <w:r>
        <w:rPr>
          <w:rStyle w:val="Emphasis"/>
        </w:rPr>
        <w:t>e.g.,</w:t>
      </w:r>
      <w:r>
        <w:t xml:space="preserve"> Withdraw</w:t>
      </w:r>
      <w:r>
        <w:t xml:space="preserve">al and Leave of Absence, Parental Leave Policy) in the </w:t>
      </w:r>
      <w:hyperlink r:id="rId12" w:history="1">
        <w:r>
          <w:rPr>
            <w:rStyle w:val="Hyperlink"/>
          </w:rPr>
          <w:t>SOD Education: Student Handbook, Policies and Procedures</w:t>
        </w:r>
      </w:hyperlink>
      <w:r>
        <w:t xml:space="preserve"> as well as </w:t>
      </w:r>
      <w:r>
        <w:t xml:space="preserve">the </w:t>
      </w:r>
      <w:hyperlink r:id="rId13" w:history="1">
        <w:r>
          <w:rPr>
            <w:rStyle w:val="Hyperlink"/>
          </w:rPr>
          <w:t>Procedures for Non-Discretionary Planned Absences</w:t>
        </w:r>
      </w:hyperlink>
      <w:r>
        <w:t>.</w:t>
      </w:r>
      <w:bookmarkStart w:id="0" w:name="_GoBack"/>
      <w:bookmarkEnd w:id="0"/>
    </w:p>
    <w:p w:rsidR="00000000" w:rsidRDefault="00B72FB7">
      <w:pPr>
        <w:pStyle w:val="NormalWeb"/>
      </w:pPr>
      <w:r>
        <w:rPr>
          <w:rStyle w:val="Strong"/>
          <w:u w:val="single"/>
        </w:rPr>
        <w:t>Clinical Absences</w:t>
      </w:r>
    </w:p>
    <w:p w:rsidR="00000000" w:rsidRDefault="00B72FB7">
      <w:pPr>
        <w:pStyle w:val="NormalWeb"/>
      </w:pPr>
      <w:r>
        <w:t xml:space="preserve">All clinical absences </w:t>
      </w:r>
      <w:r>
        <w:rPr>
          <w:u w:val="single"/>
        </w:rPr>
        <w:t>under five days</w:t>
      </w:r>
      <w:r>
        <w:t xml:space="preserve">, (patient care, clinical rotations, and externships-PCC 148), must follow the procedures </w:t>
      </w:r>
      <w:r>
        <w:t xml:space="preserve">as outlined in the </w:t>
      </w:r>
      <w:hyperlink r:id="rId14" w:history="1">
        <w:r>
          <w:rPr>
            <w:rStyle w:val="Hyperlink"/>
          </w:rPr>
          <w:t>UCSF School of Dentistry Laboratory and Clinics Policies and Procedures Manual</w:t>
        </w:r>
      </w:hyperlink>
      <w:r>
        <w:t>. These include any absences for (including but not limited to)</w:t>
      </w:r>
      <w:r>
        <w:t xml:space="preserve"> interviews, professional externships, conferences, etc.</w:t>
      </w:r>
    </w:p>
    <w:p w:rsidR="00000000" w:rsidRDefault="00B72FB7">
      <w:pPr>
        <w:pStyle w:val="NormalWeb"/>
      </w:pPr>
    </w:p>
    <w:p w:rsidR="00B72FB7" w:rsidRDefault="00B72FB7">
      <w:pPr>
        <w:pStyle w:val="NormalWeb"/>
        <w:ind w:left="450"/>
      </w:pPr>
    </w:p>
    <w:sectPr w:rsidR="00B72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AEF"/>
    <w:multiLevelType w:val="multilevel"/>
    <w:tmpl w:val="ECE0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E0FED"/>
    <w:multiLevelType w:val="multilevel"/>
    <w:tmpl w:val="6852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103B"/>
    <w:multiLevelType w:val="multilevel"/>
    <w:tmpl w:val="C554CB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F9149B"/>
    <w:multiLevelType w:val="multilevel"/>
    <w:tmpl w:val="5A1C4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D720BB"/>
    <w:multiLevelType w:val="multilevel"/>
    <w:tmpl w:val="DBE2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D1D3B"/>
    <w:rsid w:val="008D1D3B"/>
    <w:rsid w:val="00B7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68D4C"/>
  <w15:chartTrackingRefBased/>
  <w15:docId w15:val="{2CC23A85-C30A-4E94-8C11-07DFFED0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031444">
      <w:marLeft w:val="0"/>
      <w:marRight w:val="0"/>
      <w:marTop w:val="0"/>
      <w:marBottom w:val="0"/>
      <w:divBdr>
        <w:top w:val="none" w:sz="0" w:space="0" w:color="auto"/>
        <w:left w:val="none" w:sz="0" w:space="0" w:color="auto"/>
        <w:bottom w:val="none" w:sz="0" w:space="0" w:color="auto"/>
        <w:right w:val="none" w:sz="0" w:space="0" w:color="auto"/>
      </w:divBdr>
    </w:div>
    <w:div w:id="13728797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library.ucsf.edu/x/B00vGw" TargetMode="External"/><Relationship Id="rId13" Type="http://schemas.openxmlformats.org/officeDocument/2006/relationships/hyperlink" Target="https://wiki.library.ucsf.edu/x/sQYuH" TargetMode="External"/><Relationship Id="rId3" Type="http://schemas.openxmlformats.org/officeDocument/2006/relationships/settings" Target="settings.xml"/><Relationship Id="rId7" Type="http://schemas.openxmlformats.org/officeDocument/2006/relationships/hyperlink" Target="https://wiki.library.ucsf.edu/display/SODEducation/Absence+Procedures" TargetMode="External"/><Relationship Id="rId12" Type="http://schemas.openxmlformats.org/officeDocument/2006/relationships/hyperlink" Target="https://wiki.library.ucsf.edu/display/SODEducation/SOD+Education+Home%3A+Student+Handbook%2C+Policies+and+Procedu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iki.library.ucsf.edu/display/SODEducation/Absence+Procedures" TargetMode="External"/><Relationship Id="rId11" Type="http://schemas.openxmlformats.org/officeDocument/2006/relationships/hyperlink" Target="https://wiki.library.ucsf.edu/x/B00vGw" TargetMode="External"/><Relationship Id="rId5" Type="http://schemas.openxmlformats.org/officeDocument/2006/relationships/hyperlink" Target="https://wiki.library.ucsf.edu/x/J0ovGw" TargetMode="External"/><Relationship Id="rId15" Type="http://schemas.openxmlformats.org/officeDocument/2006/relationships/fontTable" Target="fontTable.xml"/><Relationship Id="rId10" Type="http://schemas.openxmlformats.org/officeDocument/2006/relationships/hyperlink" Target="https://wiki.library.ucsf.edu/x/sQYuH" TargetMode="External"/><Relationship Id="rId4" Type="http://schemas.openxmlformats.org/officeDocument/2006/relationships/webSettings" Target="webSettings.xml"/><Relationship Id="rId9" Type="http://schemas.openxmlformats.org/officeDocument/2006/relationships/hyperlink" Target="https://wiki.library.ucsf.edu/display/SODEducation/SOD+Education+Home%3A+Student+Handbook%2C+Policies+and+Procedures" TargetMode="External"/><Relationship Id="rId14" Type="http://schemas.openxmlformats.org/officeDocument/2006/relationships/hyperlink" Target="https://wiki.library.ucsf.edu/display/DentistryClinicPolicies/Table+of+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Engagement Policy</vt:lpstr>
    </vt:vector>
  </TitlesOfParts>
  <Company>UCSF</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Policy</dc:title>
  <dc:subject/>
  <dc:creator>Armstrong, Pamela D</dc:creator>
  <cp:keywords/>
  <dc:description/>
  <cp:lastModifiedBy>Armstrong, Pamela D</cp:lastModifiedBy>
  <cp:revision>2</cp:revision>
  <dcterms:created xsi:type="dcterms:W3CDTF">2019-03-25T21:07:00Z</dcterms:created>
  <dcterms:modified xsi:type="dcterms:W3CDTF">2019-03-25T21:07:00Z</dcterms:modified>
</cp:coreProperties>
</file>